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233836">
        <w:rPr>
          <w:rFonts w:ascii="Calibri" w:eastAsia="Calibri" w:hAnsi="Calibri" w:cs="Calibri"/>
          <w:b/>
          <w:noProof/>
          <w:sz w:val="24"/>
          <w:szCs w:val="24"/>
          <w:lang w:val="pt-BR"/>
        </w:rPr>
        <w:t>24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13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0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6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5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A80E82" w:rsidRPr="00356005" w:rsidRDefault="00A80E82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</w:p>
    <w:p w:rsidR="00A80E82" w:rsidRPr="00233836" w:rsidRDefault="00233836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  <w:r w:rsidRPr="00233836">
        <w:rPr>
          <w:b/>
          <w:i/>
          <w:color w:val="000000"/>
          <w:sz w:val="27"/>
          <w:szCs w:val="27"/>
        </w:rPr>
        <w:t>Proiectul de Hotărâre privind adoptarea regulamentului de atribuire și exploatare a locurilor de parcare din parcajele de utilitate publică cu plată, parcajele publice de reședință, parcajele automatizate și parcajele destinate autovehiculelor pe două roți, din administrarea Sectorului 1 al Municipiului București, prin Direcția de Utilități Publice, Salubrizare și Protecția Mediului Sector 1 și Direcția Generală de Impozite și Taxe Locale Sector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0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0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FCD" w:rsidRDefault="009D0FCD" w:rsidP="00B7531C">
      <w:pPr>
        <w:spacing w:after="0" w:line="240" w:lineRule="auto"/>
      </w:pPr>
      <w:r>
        <w:separator/>
      </w:r>
    </w:p>
  </w:endnote>
  <w:endnote w:type="continuationSeparator" w:id="1">
    <w:p w:rsidR="009D0FCD" w:rsidRDefault="009D0FC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1C393A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1C393A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1C393A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1C393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1C393A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FCD" w:rsidRDefault="009D0FCD" w:rsidP="00B7531C">
      <w:pPr>
        <w:spacing w:after="0" w:line="240" w:lineRule="auto"/>
      </w:pPr>
      <w:r>
        <w:separator/>
      </w:r>
    </w:p>
  </w:footnote>
  <w:footnote w:type="continuationSeparator" w:id="1">
    <w:p w:rsidR="009D0FCD" w:rsidRDefault="009D0FC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1C393A" w:rsidP="00663450">
    <w:pPr>
      <w:pStyle w:val="Header"/>
      <w:ind w:firstLine="720"/>
    </w:pPr>
    <w:r w:rsidRPr="001C393A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3836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0FCD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2025-06-13T13:52:00Z</dcterms:created>
  <dcterms:modified xsi:type="dcterms:W3CDTF">2025-06-13T13:52:00Z</dcterms:modified>
</cp:coreProperties>
</file>