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77777777"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Secţiunea 1. Autoritatea contractantă/organizatorul</w:t>
      </w:r>
    </w:p>
    <w:p w14:paraId="176CB8A1" w14:textId="77777777" w:rsidR="00FE0332" w:rsidRDefault="00FE0332" w:rsidP="00FE0332">
      <w:pPr>
        <w:jc w:val="both"/>
        <w:rPr>
          <w:rFonts w:ascii="Times New Roman" w:hAnsi="Times New Roman" w:cs="Times New Roman"/>
          <w:b/>
          <w:bCs/>
          <w:lang w:val="it-IT"/>
        </w:rPr>
      </w:pPr>
      <w:r>
        <w:rPr>
          <w:rStyle w:val="Fontdeparagrafimplicit1"/>
          <w:rFonts w:ascii="Times New Roman"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4A34ACAF"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893BA7">
        <w:rPr>
          <w:rFonts w:ascii="Times New Roman" w:hAnsi="Times New Roman" w:cs="Times New Roman"/>
          <w:lang w:val="it-IT"/>
        </w:rPr>
        <w:t xml:space="preserve"> – Zona bazar</w:t>
      </w:r>
    </w:p>
    <w:tbl>
      <w:tblPr>
        <w:tblStyle w:val="TableGrid"/>
        <w:tblW w:w="0" w:type="auto"/>
        <w:tblLook w:val="04A0" w:firstRow="1" w:lastRow="0" w:firstColumn="1" w:lastColumn="0" w:noHBand="0" w:noVBand="1"/>
      </w:tblPr>
      <w:tblGrid>
        <w:gridCol w:w="1275"/>
        <w:gridCol w:w="1325"/>
        <w:gridCol w:w="1329"/>
        <w:gridCol w:w="1313"/>
        <w:gridCol w:w="1456"/>
        <w:gridCol w:w="1326"/>
        <w:gridCol w:w="1326"/>
      </w:tblGrid>
      <w:tr w:rsidR="00B4041C"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02D148A5"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A9513F">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B4041C"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5CFF45C0" w:rsidR="008D16CE" w:rsidRPr="001C2026" w:rsidRDefault="005D1C4A" w:rsidP="00E81A8C">
            <w:pPr>
              <w:jc w:val="center"/>
              <w:rPr>
                <w:rFonts w:ascii="Times New Roman" w:hAnsi="Times New Roman" w:cs="Times New Roman"/>
                <w:lang w:val="it-IT"/>
              </w:rPr>
            </w:pPr>
            <w:r>
              <w:rPr>
                <w:rFonts w:ascii="Times New Roman" w:hAnsi="Times New Roman" w:cs="Times New Roman"/>
                <w:lang w:val="it-IT"/>
              </w:rPr>
              <w:t>10</w:t>
            </w:r>
          </w:p>
        </w:tc>
        <w:tc>
          <w:tcPr>
            <w:tcW w:w="1336" w:type="dxa"/>
          </w:tcPr>
          <w:p w14:paraId="53B8A6FE" w14:textId="5618AA7D" w:rsidR="008D16CE" w:rsidRPr="001C2026" w:rsidRDefault="00F26700" w:rsidP="00E81A8C">
            <w:pPr>
              <w:jc w:val="center"/>
              <w:rPr>
                <w:rFonts w:ascii="Times New Roman" w:hAnsi="Times New Roman" w:cs="Times New Roman"/>
                <w:lang w:val="it-IT"/>
              </w:rPr>
            </w:pPr>
            <w:r>
              <w:rPr>
                <w:rFonts w:ascii="Times New Roman" w:hAnsi="Times New Roman" w:cs="Times New Roman"/>
                <w:lang w:val="it-IT"/>
              </w:rPr>
              <w:t>9</w:t>
            </w:r>
            <w:r w:rsidR="00C23D0A">
              <w:rPr>
                <w:rFonts w:ascii="Times New Roman" w:hAnsi="Times New Roman" w:cs="Times New Roman"/>
                <w:lang w:val="it-IT"/>
              </w:rPr>
              <w:t>,</w:t>
            </w:r>
            <w:r w:rsidR="008430B9">
              <w:rPr>
                <w:rFonts w:ascii="Times New Roman" w:hAnsi="Times New Roman" w:cs="Times New Roman"/>
                <w:lang w:val="it-IT"/>
              </w:rPr>
              <w:t>0</w:t>
            </w:r>
            <w:r w:rsidR="00C23D0A">
              <w:rPr>
                <w:rFonts w:ascii="Times New Roman" w:hAnsi="Times New Roman" w:cs="Times New Roman"/>
                <w:lang w:val="it-IT"/>
              </w:rPr>
              <w:t>0</w:t>
            </w:r>
            <w:r w:rsidR="00E81A8C" w:rsidRPr="001C2026">
              <w:rPr>
                <w:rFonts w:ascii="Times New Roman" w:hAnsi="Times New Roman" w:cs="Times New Roman"/>
                <w:lang w:val="it-IT"/>
              </w:rPr>
              <w:t xml:space="preserve"> mp</w:t>
            </w:r>
          </w:p>
        </w:tc>
        <w:tc>
          <w:tcPr>
            <w:tcW w:w="1336" w:type="dxa"/>
          </w:tcPr>
          <w:p w14:paraId="6DEB3902" w14:textId="311C4E7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w:t>
            </w:r>
            <w:r w:rsidR="00C23D0A">
              <w:rPr>
                <w:rFonts w:ascii="Times New Roman" w:hAnsi="Times New Roman" w:cs="Times New Roman"/>
                <w:lang w:val="it-IT"/>
              </w:rPr>
              <w:t>Zona Bazar</w:t>
            </w:r>
          </w:p>
        </w:tc>
        <w:tc>
          <w:tcPr>
            <w:tcW w:w="1336" w:type="dxa"/>
          </w:tcPr>
          <w:p w14:paraId="73F700A7" w14:textId="637C9C78" w:rsidR="008D16CE" w:rsidRPr="001C2026" w:rsidRDefault="00B4041C" w:rsidP="00E81A8C">
            <w:pPr>
              <w:jc w:val="center"/>
              <w:rPr>
                <w:rFonts w:ascii="Times New Roman" w:hAnsi="Times New Roman" w:cs="Times New Roman"/>
                <w:lang w:val="it-IT"/>
              </w:rPr>
            </w:pPr>
            <w:r>
              <w:rPr>
                <w:rFonts w:ascii="Times New Roman" w:hAnsi="Times New Roman" w:cs="Times New Roman"/>
                <w:lang w:val="it-IT"/>
              </w:rPr>
              <w:t>P</w:t>
            </w:r>
            <w:r w:rsidR="00E81A8C" w:rsidRPr="001C2026">
              <w:rPr>
                <w:rFonts w:ascii="Times New Roman" w:hAnsi="Times New Roman" w:cs="Times New Roman"/>
                <w:lang w:val="it-IT"/>
              </w:rPr>
              <w:t xml:space="preserve">roduse </w:t>
            </w:r>
            <w:r w:rsidR="00F26700">
              <w:rPr>
                <w:rFonts w:ascii="Times New Roman" w:hAnsi="Times New Roman" w:cs="Times New Roman"/>
                <w:lang w:val="it-IT"/>
              </w:rPr>
              <w:t>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128CB69B" w:rsidR="008D16CE" w:rsidRPr="001C2026" w:rsidRDefault="00E81A8C" w:rsidP="00A9513F">
            <w:pPr>
              <w:jc w:val="both"/>
              <w:rPr>
                <w:rFonts w:ascii="Times New Roman" w:hAnsi="Times New Roman" w:cs="Times New Roman"/>
                <w:lang w:val="it-IT"/>
              </w:rPr>
            </w:pPr>
            <w:r w:rsidRPr="001C2026">
              <w:rPr>
                <w:rFonts w:ascii="Times New Roman" w:hAnsi="Times New Roman" w:cs="Times New Roman"/>
                <w:lang w:val="it-IT"/>
              </w:rPr>
              <w:t>12</w:t>
            </w:r>
            <w:r w:rsidR="00C23D0A">
              <w:rPr>
                <w:rFonts w:ascii="Times New Roman" w:hAnsi="Times New Roman" w:cs="Times New Roman"/>
                <w:lang w:val="it-IT"/>
              </w:rPr>
              <w:t>1</w:t>
            </w:r>
            <w:r w:rsidRPr="001C2026">
              <w:rPr>
                <w:rFonts w:ascii="Times New Roman" w:hAnsi="Times New Roman" w:cs="Times New Roman"/>
                <w:lang w:val="it-IT"/>
              </w:rPr>
              <w:t>,</w:t>
            </w:r>
            <w:r w:rsidR="003B3196">
              <w:rPr>
                <w:rFonts w:ascii="Times New Roman" w:hAnsi="Times New Roman" w:cs="Times New Roman"/>
                <w:lang w:val="it-IT"/>
              </w:rPr>
              <w:t>6</w:t>
            </w:r>
            <w:r w:rsidR="00C23D0A">
              <w:rPr>
                <w:rFonts w:ascii="Times New Roman" w:hAnsi="Times New Roman" w:cs="Times New Roman"/>
                <w:lang w:val="it-IT"/>
              </w:rPr>
              <w:t>8</w:t>
            </w:r>
            <w:r w:rsidRPr="001C2026">
              <w:rPr>
                <w:rFonts w:ascii="Times New Roman" w:hAnsi="Times New Roman" w:cs="Times New Roman"/>
                <w:lang w:val="it-IT"/>
              </w:rPr>
              <w:t xml:space="preserve"> lei</w:t>
            </w:r>
            <w:r w:rsidR="00A9513F">
              <w:rPr>
                <w:rFonts w:ascii="Times New Roman" w:hAnsi="Times New Roman" w:cs="Times New Roman"/>
                <w:lang w:val="it-IT"/>
              </w:rPr>
              <w:t>/ 24,00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7B9ED61C" w14:textId="77777777" w:rsidR="00A9513F" w:rsidRPr="002A6CE4" w:rsidRDefault="00A9513F" w:rsidP="00A9513F">
      <w:pPr>
        <w:pStyle w:val="Frspaiere1"/>
        <w:jc w:val="both"/>
        <w:rPr>
          <w:sz w:val="24"/>
          <w:szCs w:val="24"/>
          <w:lang w:val="ro-RO"/>
        </w:rPr>
      </w:pPr>
      <w:r w:rsidRPr="002A6CE4">
        <w:rPr>
          <w:sz w:val="24"/>
          <w:szCs w:val="24"/>
          <w:lang w:val="ro-RO"/>
        </w:rPr>
        <w:t>Preț/mp/luna 121,68 lei, la care se adaugă TVA</w:t>
      </w:r>
      <w:r>
        <w:rPr>
          <w:sz w:val="24"/>
          <w:szCs w:val="24"/>
          <w:lang w:val="ro-RO"/>
        </w:rPr>
        <w:t xml:space="preserve">, respectiv 24,00 euro, </w:t>
      </w:r>
      <w:r>
        <w:rPr>
          <w:sz w:val="24"/>
          <w:szCs w:val="24"/>
        </w:rPr>
        <w:t>la care se adaugă TVA</w:t>
      </w:r>
    </w:p>
    <w:p w14:paraId="1788EAAF" w14:textId="77777777" w:rsidR="00A9513F" w:rsidRPr="002A6CE4" w:rsidRDefault="00A9513F" w:rsidP="00A9513F">
      <w:pPr>
        <w:pStyle w:val="Frspaiere1"/>
        <w:jc w:val="both"/>
        <w:rPr>
          <w:sz w:val="24"/>
          <w:szCs w:val="24"/>
          <w:lang w:val="ro-RO"/>
        </w:rPr>
      </w:pPr>
      <w:r w:rsidRPr="002A6CE4">
        <w:rPr>
          <w:sz w:val="24"/>
          <w:szCs w:val="24"/>
          <w:lang w:val="ro-RO"/>
        </w:rPr>
        <w:t>Preț pornire licitație 1</w:t>
      </w:r>
      <w:r>
        <w:rPr>
          <w:sz w:val="24"/>
          <w:szCs w:val="24"/>
          <w:lang w:val="ro-RO"/>
        </w:rPr>
        <w:t>.</w:t>
      </w:r>
      <w:r w:rsidRPr="002A6CE4">
        <w:rPr>
          <w:sz w:val="24"/>
          <w:szCs w:val="24"/>
          <w:lang w:val="ro-RO"/>
        </w:rPr>
        <w:t>095,12 lei la care se adaugă TVA</w:t>
      </w:r>
      <w:r>
        <w:rPr>
          <w:sz w:val="24"/>
          <w:szCs w:val="24"/>
          <w:lang w:val="ro-RO"/>
        </w:rPr>
        <w:t xml:space="preserve">, respectiv 216,00 euro, </w:t>
      </w:r>
      <w:r>
        <w:rPr>
          <w:sz w:val="24"/>
          <w:szCs w:val="24"/>
        </w:rPr>
        <w:t>la care se adaugă TVA</w:t>
      </w:r>
    </w:p>
    <w:p w14:paraId="38715F7D" w14:textId="77777777" w:rsidR="00FE0332" w:rsidRDefault="00FE0332" w:rsidP="00E10F1F">
      <w:pPr>
        <w:jc w:val="both"/>
        <w:rPr>
          <w:rFonts w:ascii="Times New Roman" w:hAnsi="Times New Roman" w:cs="Times New Roman"/>
          <w:b/>
          <w:bCs/>
          <w:lang w:val="it-IT"/>
        </w:rPr>
      </w:pPr>
    </w:p>
    <w:p w14:paraId="0C173E3E" w14:textId="221C72EB"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76B2A510"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3B3196">
        <w:rPr>
          <w:rFonts w:ascii="Times New Roman" w:hAnsi="Times New Roman" w:cs="Times New Roman"/>
        </w:rPr>
        <w:t xml:space="preserve"> </w:t>
      </w:r>
      <w:r w:rsidR="005D1C4A">
        <w:rPr>
          <w:rFonts w:ascii="Times New Roman" w:hAnsi="Times New Roman" w:cs="Times New Roman"/>
        </w:rPr>
        <w:t>10</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003B3196">
        <w:rPr>
          <w:rFonts w:ascii="Times New Roman" w:hAnsi="Times New Roman" w:cs="Times New Roman"/>
        </w:rPr>
        <w:t xml:space="preserve">- </w:t>
      </w:r>
      <w:r w:rsidR="00C23D0A" w:rsidRPr="00893BA7">
        <w:rPr>
          <w:rFonts w:ascii="Times New Roman" w:hAnsi="Times New Roman" w:cs="Times New Roman"/>
          <w:b/>
          <w:bCs/>
        </w:rPr>
        <w:t>zona bazar</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6520455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3E8C1BDB" w14:textId="77777777" w:rsidR="00555D89" w:rsidRDefault="00555D89" w:rsidP="00670161">
      <w:pPr>
        <w:ind w:firstLine="720"/>
        <w:jc w:val="both"/>
        <w:rPr>
          <w:rFonts w:ascii="Times New Roman" w:hAnsi="Times New Roman" w:cs="Times New Roman"/>
          <w:lang w:val="ro-RO"/>
        </w:rPr>
      </w:pPr>
    </w:p>
    <w:sectPr w:rsidR="00555D89" w:rsidSect="00FE0332">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40D67"/>
    <w:rsid w:val="000620EF"/>
    <w:rsid w:val="000E2DCA"/>
    <w:rsid w:val="000F3908"/>
    <w:rsid w:val="001C2026"/>
    <w:rsid w:val="001D0A50"/>
    <w:rsid w:val="001D41E6"/>
    <w:rsid w:val="00241D19"/>
    <w:rsid w:val="00261563"/>
    <w:rsid w:val="002709B7"/>
    <w:rsid w:val="00285F15"/>
    <w:rsid w:val="002A689F"/>
    <w:rsid w:val="002E0206"/>
    <w:rsid w:val="002E13A4"/>
    <w:rsid w:val="00332BC0"/>
    <w:rsid w:val="00382025"/>
    <w:rsid w:val="003B3196"/>
    <w:rsid w:val="003D7BC4"/>
    <w:rsid w:val="003F1FA4"/>
    <w:rsid w:val="003F3417"/>
    <w:rsid w:val="00435D84"/>
    <w:rsid w:val="004615A6"/>
    <w:rsid w:val="00487857"/>
    <w:rsid w:val="00493F31"/>
    <w:rsid w:val="004A6A8C"/>
    <w:rsid w:val="004E0FBA"/>
    <w:rsid w:val="00510825"/>
    <w:rsid w:val="00555D89"/>
    <w:rsid w:val="00563CD9"/>
    <w:rsid w:val="00564159"/>
    <w:rsid w:val="005A2DBF"/>
    <w:rsid w:val="005B725D"/>
    <w:rsid w:val="005D1C4A"/>
    <w:rsid w:val="005D67A7"/>
    <w:rsid w:val="005E3F57"/>
    <w:rsid w:val="00623857"/>
    <w:rsid w:val="006353B2"/>
    <w:rsid w:val="00670161"/>
    <w:rsid w:val="00690F1E"/>
    <w:rsid w:val="006B3F0D"/>
    <w:rsid w:val="006E002E"/>
    <w:rsid w:val="00706F3E"/>
    <w:rsid w:val="007B12BA"/>
    <w:rsid w:val="007E0D92"/>
    <w:rsid w:val="008430B9"/>
    <w:rsid w:val="0088081D"/>
    <w:rsid w:val="00893BA7"/>
    <w:rsid w:val="008B54FB"/>
    <w:rsid w:val="008D16CE"/>
    <w:rsid w:val="008F494B"/>
    <w:rsid w:val="00941CC4"/>
    <w:rsid w:val="009A66F7"/>
    <w:rsid w:val="00A05549"/>
    <w:rsid w:val="00A85AE9"/>
    <w:rsid w:val="00A9513F"/>
    <w:rsid w:val="00AB0FEA"/>
    <w:rsid w:val="00B26F31"/>
    <w:rsid w:val="00B36199"/>
    <w:rsid w:val="00B4041C"/>
    <w:rsid w:val="00B83C80"/>
    <w:rsid w:val="00BB1607"/>
    <w:rsid w:val="00C23D0A"/>
    <w:rsid w:val="00C343FE"/>
    <w:rsid w:val="00C352B8"/>
    <w:rsid w:val="00CE00DD"/>
    <w:rsid w:val="00D332CB"/>
    <w:rsid w:val="00DD726C"/>
    <w:rsid w:val="00E10F1F"/>
    <w:rsid w:val="00E315B9"/>
    <w:rsid w:val="00E665CB"/>
    <w:rsid w:val="00E80DE6"/>
    <w:rsid w:val="00E81A8C"/>
    <w:rsid w:val="00E926C0"/>
    <w:rsid w:val="00EB0637"/>
    <w:rsid w:val="00F16420"/>
    <w:rsid w:val="00F25F14"/>
    <w:rsid w:val="00F26700"/>
    <w:rsid w:val="00F271F5"/>
    <w:rsid w:val="00F53689"/>
    <w:rsid w:val="00F86EA5"/>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555D89"/>
    <w:rPr>
      <w:rFonts w:ascii="Times New Roman" w:eastAsia="Times New Roman" w:hAnsi="Times New Roman" w:cs="Times New Roman"/>
      <w:bdr w:val="none" w:sz="0" w:space="0" w:color="auto" w:frame="1"/>
    </w:rPr>
  </w:style>
  <w:style w:type="paragraph" w:styleId="NoSpacing">
    <w:name w:val="No Spacing"/>
    <w:link w:val="NoSpacingChar"/>
    <w:qFormat/>
    <w:rsid w:val="00555D89"/>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555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6</cp:revision>
  <dcterms:created xsi:type="dcterms:W3CDTF">2025-08-28T06:59:00Z</dcterms:created>
  <dcterms:modified xsi:type="dcterms:W3CDTF">2025-09-05T09:31:00Z</dcterms:modified>
</cp:coreProperties>
</file>